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7F" w:rsidRDefault="00E72E7F" w:rsidP="00B07E71">
      <w:pPr>
        <w:tabs>
          <w:tab w:val="left" w:pos="6419"/>
        </w:tabs>
      </w:pPr>
    </w:p>
    <w:p w:rsidR="00472B5B" w:rsidRDefault="00472B5B" w:rsidP="00B07E71">
      <w:pPr>
        <w:tabs>
          <w:tab w:val="left" w:pos="6419"/>
        </w:tabs>
      </w:pPr>
    </w:p>
    <w:p w:rsidR="00472B5B" w:rsidRDefault="00472B5B" w:rsidP="00472B5B">
      <w:pPr>
        <w:jc w:val="right"/>
        <w:rPr>
          <w:rFonts w:ascii="Arial" w:hAnsi="Arial" w:cs="Arial"/>
          <w:color w:val="222222"/>
          <w:sz w:val="20"/>
          <w:szCs w:val="20"/>
          <w:shd w:val="clear" w:color="auto" w:fill="FFFFFF"/>
        </w:rPr>
      </w:pPr>
      <w:r>
        <w:rPr>
          <w:rFonts w:ascii="Arial" w:hAnsi="Arial" w:cs="Arial"/>
          <w:color w:val="222222"/>
          <w:sz w:val="20"/>
          <w:szCs w:val="20"/>
          <w:shd w:val="clear" w:color="auto" w:fill="FFFFFF"/>
        </w:rPr>
        <w:t>Comunicado Núm. 001/2020</w:t>
      </w:r>
    </w:p>
    <w:p w:rsidR="00472B5B" w:rsidRDefault="00472B5B" w:rsidP="00472B5B">
      <w:pPr>
        <w:shd w:val="clear" w:color="auto" w:fill="FFFFFF"/>
        <w:rPr>
          <w:rFonts w:ascii="Arial" w:eastAsia="Times New Roman" w:hAnsi="Arial" w:cs="Arial"/>
          <w:b/>
          <w:bCs/>
          <w:color w:val="222222"/>
          <w:lang w:eastAsia="es-MX"/>
        </w:rPr>
      </w:pPr>
    </w:p>
    <w:p w:rsidR="00472B5B" w:rsidRPr="000877D6" w:rsidRDefault="00472B5B" w:rsidP="00472B5B">
      <w:pPr>
        <w:shd w:val="clear" w:color="auto" w:fill="FFFFFF"/>
        <w:jc w:val="center"/>
        <w:rPr>
          <w:rFonts w:ascii="Arial" w:eastAsia="Times New Roman" w:hAnsi="Arial" w:cs="Arial"/>
          <w:color w:val="222222"/>
          <w:lang w:eastAsia="es-MX"/>
        </w:rPr>
      </w:pPr>
      <w:r w:rsidRPr="000877D6">
        <w:rPr>
          <w:rFonts w:ascii="Arial" w:eastAsia="Times New Roman" w:hAnsi="Arial" w:cs="Arial"/>
          <w:b/>
          <w:bCs/>
          <w:color w:val="222222"/>
          <w:lang w:eastAsia="es-MX"/>
        </w:rPr>
        <w:t> </w:t>
      </w:r>
    </w:p>
    <w:p w:rsidR="00472B5B" w:rsidRDefault="00D7256F" w:rsidP="00472B5B">
      <w:pPr>
        <w:jc w:val="center"/>
        <w:rPr>
          <w:rFonts w:ascii="Arial" w:hAnsi="Arial" w:cs="Arial"/>
          <w:b/>
        </w:rPr>
      </w:pPr>
      <w:r>
        <w:rPr>
          <w:rFonts w:ascii="Arial" w:hAnsi="Arial" w:cs="Arial"/>
          <w:b/>
        </w:rPr>
        <w:t>Amplia A</w:t>
      </w:r>
      <w:r w:rsidR="00CC0BB0">
        <w:rPr>
          <w:rFonts w:ascii="Arial" w:hAnsi="Arial" w:cs="Arial"/>
          <w:b/>
        </w:rPr>
        <w:t>gua</w:t>
      </w:r>
      <w:r>
        <w:rPr>
          <w:rFonts w:ascii="Arial" w:hAnsi="Arial" w:cs="Arial"/>
          <w:b/>
        </w:rPr>
        <w:t xml:space="preserve"> y S</w:t>
      </w:r>
      <w:r w:rsidR="00CC0BB0">
        <w:rPr>
          <w:rFonts w:ascii="Arial" w:hAnsi="Arial" w:cs="Arial"/>
          <w:b/>
        </w:rPr>
        <w:t>aneamient</w:t>
      </w:r>
      <w:r>
        <w:rPr>
          <w:rFonts w:ascii="Arial" w:hAnsi="Arial" w:cs="Arial"/>
          <w:b/>
        </w:rPr>
        <w:t>o de Toluca oficina comercial “P</w:t>
      </w:r>
      <w:r w:rsidR="00CC0BB0">
        <w:rPr>
          <w:rFonts w:ascii="Arial" w:hAnsi="Arial" w:cs="Arial"/>
          <w:b/>
        </w:rPr>
        <w:t>ortales”</w:t>
      </w:r>
    </w:p>
    <w:p w:rsidR="00472B5B" w:rsidRDefault="00472B5B" w:rsidP="00472B5B">
      <w:pPr>
        <w:jc w:val="both"/>
        <w:rPr>
          <w:rFonts w:ascii="Arial" w:hAnsi="Arial" w:cs="Arial"/>
          <w:b/>
        </w:rPr>
      </w:pPr>
    </w:p>
    <w:p w:rsidR="00472B5B" w:rsidRPr="00CC0BB0" w:rsidRDefault="00472B5B" w:rsidP="00472B5B">
      <w:pPr>
        <w:pStyle w:val="Prrafodelista"/>
        <w:numPr>
          <w:ilvl w:val="0"/>
          <w:numId w:val="1"/>
        </w:numPr>
        <w:jc w:val="both"/>
        <w:rPr>
          <w:rFonts w:ascii="Arial" w:hAnsi="Arial" w:cs="Arial"/>
          <w:i/>
          <w:sz w:val="22"/>
          <w:szCs w:val="22"/>
        </w:rPr>
      </w:pPr>
      <w:r w:rsidRPr="00CC0BB0">
        <w:rPr>
          <w:rFonts w:ascii="Arial" w:hAnsi="Arial" w:cs="Arial"/>
          <w:i/>
          <w:sz w:val="22"/>
          <w:szCs w:val="22"/>
        </w:rPr>
        <w:t xml:space="preserve">Con 16 cajas para pago de agua y 15 módulos de atención personalizada, el Organismo Agua y Saneamiento de Toluca reabre la oficina comercial “Portales” </w:t>
      </w:r>
    </w:p>
    <w:p w:rsidR="00472B5B" w:rsidRPr="00862FA8" w:rsidRDefault="00472B5B" w:rsidP="00472B5B">
      <w:pPr>
        <w:jc w:val="both"/>
        <w:rPr>
          <w:rFonts w:ascii="Arial" w:hAnsi="Arial" w:cs="Arial"/>
          <w:i/>
        </w:rPr>
      </w:pPr>
    </w:p>
    <w:p w:rsidR="00472B5B" w:rsidRPr="00BA2182" w:rsidRDefault="00472B5B" w:rsidP="00472B5B">
      <w:pPr>
        <w:jc w:val="both"/>
        <w:rPr>
          <w:rFonts w:ascii="Arial" w:hAnsi="Arial" w:cs="Arial"/>
        </w:rPr>
      </w:pPr>
    </w:p>
    <w:p w:rsidR="00CC0BB0" w:rsidRDefault="00472B5B" w:rsidP="00CC0BB0">
      <w:pPr>
        <w:jc w:val="both"/>
        <w:rPr>
          <w:rFonts w:ascii="Arial" w:hAnsi="Arial" w:cs="Arial"/>
        </w:rPr>
      </w:pPr>
      <w:r w:rsidRPr="00BA2182">
        <w:rPr>
          <w:rFonts w:ascii="Arial" w:hAnsi="Arial" w:cs="Arial"/>
          <w:b/>
        </w:rPr>
        <w:t>Toluca,</w:t>
      </w:r>
      <w:r>
        <w:rPr>
          <w:rFonts w:ascii="Arial" w:hAnsi="Arial" w:cs="Arial"/>
          <w:b/>
        </w:rPr>
        <w:t xml:space="preserve"> Estado de México; 7 de enero de 2020</w:t>
      </w:r>
      <w:r w:rsidRPr="00BA2182">
        <w:rPr>
          <w:rFonts w:ascii="Arial" w:hAnsi="Arial" w:cs="Arial"/>
          <w:b/>
        </w:rPr>
        <w:t>.-</w:t>
      </w:r>
      <w:r>
        <w:t xml:space="preserve"> </w:t>
      </w:r>
      <w:r w:rsidRPr="00CC0BB0">
        <w:rPr>
          <w:rFonts w:ascii="Arial" w:hAnsi="Arial" w:cs="Arial"/>
        </w:rPr>
        <w:t xml:space="preserve">Con la finalidad de agilizar el servicio a los usuarios que realizan </w:t>
      </w:r>
      <w:r w:rsidR="00CC0BB0">
        <w:rPr>
          <w:rFonts w:ascii="Arial" w:hAnsi="Arial" w:cs="Arial"/>
        </w:rPr>
        <w:t xml:space="preserve">el </w:t>
      </w:r>
      <w:r w:rsidRPr="00CC0BB0">
        <w:rPr>
          <w:rFonts w:ascii="Arial" w:hAnsi="Arial" w:cs="Arial"/>
        </w:rPr>
        <w:t xml:space="preserve">pago anual de agua, el Organismo </w:t>
      </w:r>
      <w:r w:rsidR="00CC0BB0" w:rsidRPr="00CC0BB0">
        <w:rPr>
          <w:rFonts w:ascii="Arial" w:hAnsi="Arial" w:cs="Arial"/>
        </w:rPr>
        <w:t>Agua y</w:t>
      </w:r>
      <w:r w:rsidRPr="00CC0BB0">
        <w:rPr>
          <w:rFonts w:ascii="Arial" w:hAnsi="Arial" w:cs="Arial"/>
        </w:rPr>
        <w:t xml:space="preserve"> Saneamiento de Toluca (</w:t>
      </w:r>
      <w:proofErr w:type="spellStart"/>
      <w:r w:rsidRPr="00CC0BB0">
        <w:rPr>
          <w:rFonts w:ascii="Arial" w:hAnsi="Arial" w:cs="Arial"/>
        </w:rPr>
        <w:t>OAyST</w:t>
      </w:r>
      <w:proofErr w:type="spellEnd"/>
      <w:r w:rsidRPr="00CC0BB0">
        <w:rPr>
          <w:rFonts w:ascii="Arial" w:hAnsi="Arial" w:cs="Arial"/>
        </w:rPr>
        <w:t>) reabrió su recién remodela oficina comercial “Portales”</w:t>
      </w:r>
      <w:r w:rsidR="00CC0BB0">
        <w:rPr>
          <w:rFonts w:ascii="Arial" w:hAnsi="Arial" w:cs="Arial"/>
        </w:rPr>
        <w:t xml:space="preserve"> </w:t>
      </w:r>
      <w:r w:rsidRPr="00CC0BB0">
        <w:rPr>
          <w:rFonts w:ascii="Arial" w:hAnsi="Arial" w:cs="Arial"/>
        </w:rPr>
        <w:t>ubicada en plaza Fray Andrés de Castro Edificio “A” en el centro de la ciudad</w:t>
      </w:r>
      <w:r w:rsidR="00CC0BB0">
        <w:rPr>
          <w:rFonts w:ascii="Arial" w:hAnsi="Arial" w:cs="Arial"/>
        </w:rPr>
        <w:t>.</w:t>
      </w:r>
    </w:p>
    <w:p w:rsidR="00CC0BB0" w:rsidRDefault="00CC0BB0" w:rsidP="00CC0BB0">
      <w:pPr>
        <w:jc w:val="both"/>
        <w:rPr>
          <w:rFonts w:ascii="Arial" w:hAnsi="Arial" w:cs="Arial"/>
        </w:rPr>
      </w:pPr>
    </w:p>
    <w:p w:rsidR="00CC0BB0" w:rsidRDefault="00CC0BB0" w:rsidP="00CC0BB0">
      <w:pPr>
        <w:jc w:val="both"/>
        <w:rPr>
          <w:rFonts w:ascii="Arial" w:hAnsi="Arial" w:cs="Arial"/>
        </w:rPr>
      </w:pPr>
      <w:r>
        <w:rPr>
          <w:rFonts w:ascii="Arial" w:hAnsi="Arial" w:cs="Arial"/>
        </w:rPr>
        <w:t>Este espacio</w:t>
      </w:r>
      <w:r w:rsidR="00472B5B" w:rsidRPr="00CC0BB0">
        <w:rPr>
          <w:rFonts w:ascii="Arial" w:hAnsi="Arial" w:cs="Arial"/>
        </w:rPr>
        <w:t xml:space="preserve"> fue remodelad</w:t>
      </w:r>
      <w:r>
        <w:rPr>
          <w:rFonts w:ascii="Arial" w:hAnsi="Arial" w:cs="Arial"/>
        </w:rPr>
        <w:t>o</w:t>
      </w:r>
      <w:r w:rsidR="00472B5B" w:rsidRPr="00CC0BB0">
        <w:rPr>
          <w:rFonts w:ascii="Arial" w:hAnsi="Arial" w:cs="Arial"/>
        </w:rPr>
        <w:t xml:space="preserve"> y ampliad</w:t>
      </w:r>
      <w:r>
        <w:rPr>
          <w:rFonts w:ascii="Arial" w:hAnsi="Arial" w:cs="Arial"/>
        </w:rPr>
        <w:t>o</w:t>
      </w:r>
      <w:r w:rsidR="00472B5B" w:rsidRPr="00CC0BB0">
        <w:rPr>
          <w:rFonts w:ascii="Arial" w:hAnsi="Arial" w:cs="Arial"/>
        </w:rPr>
        <w:t xml:space="preserve"> pensando en la comodidad de los usuarios, así como en mejorar el servicio y agilizar el trámite</w:t>
      </w:r>
      <w:r w:rsidR="00A149F7">
        <w:rPr>
          <w:rFonts w:ascii="Arial" w:hAnsi="Arial" w:cs="Arial"/>
        </w:rPr>
        <w:t>. Actualmente esta oficina</w:t>
      </w:r>
      <w:r>
        <w:rPr>
          <w:rFonts w:ascii="Arial" w:hAnsi="Arial" w:cs="Arial"/>
        </w:rPr>
        <w:t xml:space="preserve"> </w:t>
      </w:r>
      <w:proofErr w:type="gramStart"/>
      <w:r>
        <w:rPr>
          <w:rFonts w:ascii="Arial" w:hAnsi="Arial" w:cs="Arial"/>
        </w:rPr>
        <w:t>cuentan</w:t>
      </w:r>
      <w:proofErr w:type="gramEnd"/>
      <w:r w:rsidR="00472B5B" w:rsidRPr="00CC0BB0">
        <w:rPr>
          <w:rFonts w:ascii="Arial" w:hAnsi="Arial" w:cs="Arial"/>
        </w:rPr>
        <w:t xml:space="preserve"> con 16 cajas disponibles, además de 15 de módulos de atención personalizada donde los usuarios </w:t>
      </w:r>
      <w:r w:rsidR="009B00C8" w:rsidRPr="00CC0BB0">
        <w:rPr>
          <w:rFonts w:ascii="Arial" w:hAnsi="Arial" w:cs="Arial"/>
        </w:rPr>
        <w:t>reciben</w:t>
      </w:r>
      <w:r w:rsidR="00472B5B" w:rsidRPr="00CC0BB0">
        <w:rPr>
          <w:rFonts w:ascii="Arial" w:hAnsi="Arial" w:cs="Arial"/>
        </w:rPr>
        <w:t xml:space="preserve"> asesoría </w:t>
      </w:r>
      <w:r>
        <w:rPr>
          <w:rFonts w:ascii="Arial" w:hAnsi="Arial" w:cs="Arial"/>
        </w:rPr>
        <w:t>de forma directa.</w:t>
      </w:r>
    </w:p>
    <w:p w:rsidR="00CC0BB0" w:rsidRDefault="00CC0BB0" w:rsidP="00CC0BB0">
      <w:pPr>
        <w:jc w:val="both"/>
        <w:rPr>
          <w:rFonts w:ascii="Arial" w:hAnsi="Arial" w:cs="Arial"/>
        </w:rPr>
      </w:pPr>
    </w:p>
    <w:p w:rsidR="00472B5B" w:rsidRPr="00CC0BB0" w:rsidRDefault="00CC0BB0" w:rsidP="00CC0BB0">
      <w:pPr>
        <w:jc w:val="both"/>
        <w:rPr>
          <w:rFonts w:ascii="Arial" w:hAnsi="Arial" w:cs="Arial"/>
        </w:rPr>
      </w:pPr>
      <w:r>
        <w:rPr>
          <w:rFonts w:ascii="Arial" w:hAnsi="Arial" w:cs="Arial"/>
        </w:rPr>
        <w:t>Cabe recordar que a los contribuyentes que van al corriente con su pago, se les aplican</w:t>
      </w:r>
      <w:r w:rsidR="00472B5B" w:rsidRPr="00CC0BB0">
        <w:rPr>
          <w:rFonts w:ascii="Arial" w:hAnsi="Arial" w:cs="Arial"/>
        </w:rPr>
        <w:t xml:space="preserve"> descuentos que consisten en el 8% en el pago anual y un 4 % más a los usuarios cumplidos en los dos años anteriores. De la misma manera, los usuarios en situación especial </w:t>
      </w:r>
      <w:r>
        <w:rPr>
          <w:rFonts w:ascii="Arial" w:hAnsi="Arial" w:cs="Arial"/>
        </w:rPr>
        <w:t>son</w:t>
      </w:r>
      <w:r w:rsidR="00472B5B" w:rsidRPr="00CC0BB0">
        <w:rPr>
          <w:rFonts w:ascii="Arial" w:hAnsi="Arial" w:cs="Arial"/>
        </w:rPr>
        <w:t xml:space="preserve"> acreedores al beneficio del 38% de descuento siempre y cuando cumplan con los requisitos </w:t>
      </w:r>
      <w:r>
        <w:rPr>
          <w:rFonts w:ascii="Arial" w:hAnsi="Arial" w:cs="Arial"/>
        </w:rPr>
        <w:t>necesarios</w:t>
      </w:r>
      <w:r w:rsidR="00472B5B" w:rsidRPr="00CC0BB0">
        <w:rPr>
          <w:rFonts w:ascii="Arial" w:hAnsi="Arial" w:cs="Arial"/>
        </w:rPr>
        <w:t>.</w:t>
      </w:r>
    </w:p>
    <w:p w:rsidR="00472B5B" w:rsidRPr="00CC0BB0" w:rsidRDefault="00472B5B" w:rsidP="00CC0BB0">
      <w:pPr>
        <w:jc w:val="both"/>
        <w:rPr>
          <w:rFonts w:ascii="Arial" w:hAnsi="Arial" w:cs="Arial"/>
        </w:rPr>
      </w:pPr>
    </w:p>
    <w:p w:rsidR="00472B5B" w:rsidRPr="00CC0BB0" w:rsidRDefault="00472B5B" w:rsidP="00CC0BB0">
      <w:pPr>
        <w:jc w:val="both"/>
        <w:rPr>
          <w:rFonts w:ascii="Arial" w:hAnsi="Arial" w:cs="Arial"/>
        </w:rPr>
      </w:pPr>
      <w:r w:rsidRPr="00CC0BB0">
        <w:rPr>
          <w:rFonts w:ascii="Arial" w:hAnsi="Arial" w:cs="Arial"/>
        </w:rPr>
        <w:t xml:space="preserve">Además de realizar su pago anual y aplicación de descuentos, los </w:t>
      </w:r>
      <w:r w:rsidR="00CC0BB0" w:rsidRPr="00CC0BB0">
        <w:rPr>
          <w:rFonts w:ascii="Arial" w:hAnsi="Arial" w:cs="Arial"/>
        </w:rPr>
        <w:t>usuarios pueden</w:t>
      </w:r>
      <w:r w:rsidRPr="00CC0BB0">
        <w:rPr>
          <w:rFonts w:ascii="Arial" w:hAnsi="Arial" w:cs="Arial"/>
        </w:rPr>
        <w:t xml:space="preserve"> solicitar su estado de cuenta en uno de los módulos de atención habilitados para tal fin, realizar su pago si cuentan con servicio intermitente, al igual que los ciudadanos que cuenten con el servicio medido</w:t>
      </w:r>
      <w:r w:rsidR="00CC0BB0">
        <w:rPr>
          <w:rFonts w:ascii="Arial" w:hAnsi="Arial" w:cs="Arial"/>
        </w:rPr>
        <w:t>.</w:t>
      </w:r>
    </w:p>
    <w:p w:rsidR="00472B5B" w:rsidRPr="00CC0BB0" w:rsidRDefault="00472B5B" w:rsidP="00CC0BB0">
      <w:pPr>
        <w:jc w:val="both"/>
        <w:rPr>
          <w:rFonts w:ascii="Arial" w:hAnsi="Arial" w:cs="Arial"/>
        </w:rPr>
      </w:pPr>
    </w:p>
    <w:p w:rsidR="00472B5B" w:rsidRPr="00CC0BB0" w:rsidRDefault="00472B5B" w:rsidP="00CC0BB0">
      <w:pPr>
        <w:jc w:val="both"/>
        <w:rPr>
          <w:rFonts w:ascii="Arial" w:hAnsi="Arial" w:cs="Arial"/>
        </w:rPr>
      </w:pPr>
      <w:r w:rsidRPr="00CC0BB0">
        <w:rPr>
          <w:rFonts w:ascii="Arial" w:hAnsi="Arial" w:cs="Arial"/>
        </w:rPr>
        <w:t xml:space="preserve">Es importante mencionar </w:t>
      </w:r>
      <w:r w:rsidR="00CC0BB0" w:rsidRPr="00CC0BB0">
        <w:rPr>
          <w:rFonts w:ascii="Arial" w:hAnsi="Arial" w:cs="Arial"/>
        </w:rPr>
        <w:t>que,</w:t>
      </w:r>
      <w:r w:rsidRPr="00CC0BB0">
        <w:rPr>
          <w:rFonts w:ascii="Arial" w:hAnsi="Arial" w:cs="Arial"/>
        </w:rPr>
        <w:t xml:space="preserve"> en la remodelada oficina comercial, los usuarios también podrán hacer su pago de predial, para lo cual se han habilitado 24 </w:t>
      </w:r>
      <w:r w:rsidR="00CC0BB0" w:rsidRPr="00CC0BB0">
        <w:rPr>
          <w:rFonts w:ascii="Arial" w:hAnsi="Arial" w:cs="Arial"/>
        </w:rPr>
        <w:t>cajas y</w:t>
      </w:r>
      <w:r w:rsidRPr="00CC0BB0">
        <w:rPr>
          <w:rFonts w:ascii="Arial" w:hAnsi="Arial" w:cs="Arial"/>
        </w:rPr>
        <w:t xml:space="preserve"> seis módulos de atención personalizada.</w:t>
      </w:r>
    </w:p>
    <w:p w:rsidR="00472B5B" w:rsidRPr="00CC0BB0" w:rsidRDefault="00472B5B" w:rsidP="00CC0BB0">
      <w:pPr>
        <w:jc w:val="both"/>
        <w:rPr>
          <w:rFonts w:ascii="Arial" w:hAnsi="Arial" w:cs="Arial"/>
        </w:rPr>
      </w:pPr>
    </w:p>
    <w:p w:rsidR="00472B5B" w:rsidRPr="00CC0BB0" w:rsidRDefault="00472B5B" w:rsidP="00CC0BB0">
      <w:pPr>
        <w:jc w:val="both"/>
        <w:rPr>
          <w:rFonts w:ascii="Arial" w:hAnsi="Arial" w:cs="Arial"/>
        </w:rPr>
      </w:pPr>
      <w:r w:rsidRPr="00CC0BB0">
        <w:rPr>
          <w:rFonts w:ascii="Arial" w:hAnsi="Arial" w:cs="Arial"/>
        </w:rPr>
        <w:t>De esta manera, el Organismo Agu</w:t>
      </w:r>
      <w:r w:rsidR="00A149F7">
        <w:rPr>
          <w:rFonts w:ascii="Arial" w:hAnsi="Arial" w:cs="Arial"/>
        </w:rPr>
        <w:t>a y Saneamiento de Toluca y la Tesorería M</w:t>
      </w:r>
      <w:r w:rsidRPr="00CC0BB0">
        <w:rPr>
          <w:rFonts w:ascii="Arial" w:hAnsi="Arial" w:cs="Arial"/>
        </w:rPr>
        <w:t xml:space="preserve">unicipal, con personal capacitado y altamente comprometido en el servicio a la ciudadanía, trabajan de manera </w:t>
      </w:r>
      <w:r w:rsidR="00CC0BB0" w:rsidRPr="00CC0BB0">
        <w:rPr>
          <w:rFonts w:ascii="Arial" w:hAnsi="Arial" w:cs="Arial"/>
        </w:rPr>
        <w:t>conjunta para</w:t>
      </w:r>
      <w:r w:rsidRPr="00CC0BB0">
        <w:rPr>
          <w:rFonts w:ascii="Arial" w:hAnsi="Arial" w:cs="Arial"/>
        </w:rPr>
        <w:t xml:space="preserve"> brindar a los</w:t>
      </w:r>
      <w:r w:rsidR="00CC0BB0">
        <w:rPr>
          <w:rFonts w:ascii="Arial" w:hAnsi="Arial" w:cs="Arial"/>
        </w:rPr>
        <w:t xml:space="preserve"> contribuyentes </w:t>
      </w:r>
      <w:r w:rsidRPr="00CC0BB0">
        <w:rPr>
          <w:rFonts w:ascii="Arial" w:hAnsi="Arial" w:cs="Arial"/>
        </w:rPr>
        <w:t>un servicio eficiente y de calidad</w:t>
      </w:r>
      <w:r w:rsidR="00CC0BB0">
        <w:rPr>
          <w:rFonts w:ascii="Arial" w:hAnsi="Arial" w:cs="Arial"/>
        </w:rPr>
        <w:t>.</w:t>
      </w:r>
      <w:r w:rsidRPr="00CC0BB0">
        <w:rPr>
          <w:rFonts w:ascii="Arial" w:hAnsi="Arial" w:cs="Arial"/>
        </w:rPr>
        <w:t xml:space="preserve"> </w:t>
      </w:r>
    </w:p>
    <w:p w:rsidR="00472B5B" w:rsidRPr="00CC0BB0" w:rsidRDefault="00472B5B" w:rsidP="00CC0BB0">
      <w:pPr>
        <w:jc w:val="both"/>
        <w:rPr>
          <w:rFonts w:ascii="Arial" w:hAnsi="Arial" w:cs="Arial"/>
        </w:rPr>
      </w:pPr>
    </w:p>
    <w:p w:rsidR="00472B5B" w:rsidRPr="00B07E71" w:rsidRDefault="00472B5B" w:rsidP="00CC0BB0">
      <w:pPr>
        <w:jc w:val="both"/>
      </w:pPr>
      <w:r w:rsidRPr="00CC0BB0">
        <w:rPr>
          <w:rFonts w:ascii="Arial" w:hAnsi="Arial" w:cs="Arial"/>
        </w:rPr>
        <w:t xml:space="preserve">Las oficinas comerciales del </w:t>
      </w:r>
      <w:proofErr w:type="spellStart"/>
      <w:r w:rsidRPr="00CC0BB0">
        <w:rPr>
          <w:rFonts w:ascii="Arial" w:hAnsi="Arial" w:cs="Arial"/>
        </w:rPr>
        <w:t>OAyST</w:t>
      </w:r>
      <w:proofErr w:type="spellEnd"/>
      <w:r w:rsidRPr="00CC0BB0">
        <w:rPr>
          <w:rFonts w:ascii="Arial" w:hAnsi="Arial" w:cs="Arial"/>
        </w:rPr>
        <w:t xml:space="preserve"> laboran en un horario de 9</w:t>
      </w:r>
      <w:r w:rsidR="00CC0BB0">
        <w:rPr>
          <w:rFonts w:ascii="Arial" w:hAnsi="Arial" w:cs="Arial"/>
        </w:rPr>
        <w:t>:00</w:t>
      </w:r>
      <w:r w:rsidRPr="00CC0BB0">
        <w:rPr>
          <w:rFonts w:ascii="Arial" w:hAnsi="Arial" w:cs="Arial"/>
        </w:rPr>
        <w:t xml:space="preserve"> a 18</w:t>
      </w:r>
      <w:r w:rsidR="00CC0BB0">
        <w:rPr>
          <w:rFonts w:ascii="Arial" w:hAnsi="Arial" w:cs="Arial"/>
        </w:rPr>
        <w:t>:00</w:t>
      </w:r>
      <w:r w:rsidRPr="00CC0BB0">
        <w:rPr>
          <w:rFonts w:ascii="Arial" w:hAnsi="Arial" w:cs="Arial"/>
        </w:rPr>
        <w:t xml:space="preserve"> hrs. de lunes a viernes, y para la comodidad de los usuarios, durante el mes de enero todas las oficinas permanecerán abiertas los sábados y domingos de 9</w:t>
      </w:r>
      <w:r w:rsidR="00CC0BB0">
        <w:rPr>
          <w:rFonts w:ascii="Arial" w:hAnsi="Arial" w:cs="Arial"/>
        </w:rPr>
        <w:t>:00</w:t>
      </w:r>
      <w:r w:rsidRPr="00CC0BB0">
        <w:rPr>
          <w:rFonts w:ascii="Arial" w:hAnsi="Arial" w:cs="Arial"/>
        </w:rPr>
        <w:t xml:space="preserve"> a 13</w:t>
      </w:r>
      <w:r w:rsidR="00CC0BB0">
        <w:rPr>
          <w:rFonts w:ascii="Arial" w:hAnsi="Arial" w:cs="Arial"/>
        </w:rPr>
        <w:t>:00</w:t>
      </w:r>
      <w:r w:rsidRPr="00CC0BB0">
        <w:rPr>
          <w:rFonts w:ascii="Arial" w:hAnsi="Arial" w:cs="Arial"/>
        </w:rPr>
        <w:t xml:space="preserve"> hrs.</w:t>
      </w:r>
      <w:bookmarkStart w:id="0" w:name="_GoBack"/>
      <w:bookmarkEnd w:id="0"/>
    </w:p>
    <w:sectPr w:rsidR="00472B5B" w:rsidRPr="00B07E71" w:rsidSect="00D3234D">
      <w:headerReference w:type="default" r:id="rId7"/>
      <w:footerReference w:type="default" r:id="rId8"/>
      <w:pgSz w:w="12240" w:h="15840"/>
      <w:pgMar w:top="2380" w:right="1183" w:bottom="1417"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1AB" w:rsidRDefault="006971AB" w:rsidP="008821FA">
      <w:r>
        <w:separator/>
      </w:r>
    </w:p>
  </w:endnote>
  <w:endnote w:type="continuationSeparator" w:id="0">
    <w:p w:rsidR="006971AB" w:rsidRDefault="006971AB" w:rsidP="00882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FA" w:rsidRPr="00C1639D" w:rsidRDefault="00C1639D" w:rsidP="00D3234D">
    <w:pPr>
      <w:pStyle w:val="Piedepgina"/>
      <w:jc w:val="center"/>
    </w:pPr>
    <w:r w:rsidRPr="00C1639D">
      <w:rPr>
        <w:rFonts w:ascii="Arial" w:hAnsi="Arial"/>
        <w:color w:val="7F7F7F" w:themeColor="text1" w:themeTint="80"/>
        <w:sz w:val="18"/>
      </w:rPr>
      <w:t xml:space="preserve">Av. Primero de Mayo 1707 </w:t>
    </w:r>
    <w:proofErr w:type="spellStart"/>
    <w:r w:rsidRPr="00C1639D">
      <w:rPr>
        <w:rFonts w:ascii="Arial" w:hAnsi="Arial"/>
        <w:color w:val="7F7F7F" w:themeColor="text1" w:themeTint="80"/>
        <w:sz w:val="18"/>
      </w:rPr>
      <w:t>Ote</w:t>
    </w:r>
    <w:proofErr w:type="spellEnd"/>
    <w:r w:rsidRPr="00C1639D">
      <w:rPr>
        <w:rFonts w:ascii="Arial" w:hAnsi="Arial"/>
        <w:color w:val="7F7F7F" w:themeColor="text1" w:themeTint="80"/>
        <w:sz w:val="18"/>
      </w:rPr>
      <w:t>. Zona Industrial</w:t>
    </w:r>
    <w:r w:rsidR="00983EF5">
      <w:rPr>
        <w:rFonts w:ascii="Arial" w:hAnsi="Arial"/>
        <w:color w:val="7F7F7F" w:themeColor="text1" w:themeTint="80"/>
        <w:sz w:val="18"/>
      </w:rPr>
      <w:t>,</w:t>
    </w:r>
    <w:r w:rsidRPr="00C1639D">
      <w:rPr>
        <w:rFonts w:ascii="Arial" w:hAnsi="Arial"/>
        <w:color w:val="7F7F7F" w:themeColor="text1" w:themeTint="80"/>
        <w:sz w:val="18"/>
      </w:rPr>
      <w:t xml:space="preserve"> Toluca, </w:t>
    </w:r>
    <w:r w:rsidR="00CD1643">
      <w:rPr>
        <w:rFonts w:ascii="Arial" w:hAnsi="Arial"/>
        <w:color w:val="7F7F7F" w:themeColor="text1" w:themeTint="80"/>
        <w:sz w:val="18"/>
      </w:rPr>
      <w:t>Estado de México</w:t>
    </w:r>
    <w:r w:rsidRPr="00C1639D">
      <w:rPr>
        <w:rFonts w:ascii="Arial" w:hAnsi="Arial"/>
        <w:color w:val="7F7F7F" w:themeColor="text1" w:themeTint="80"/>
        <w:sz w:val="18"/>
      </w:rPr>
      <w:t xml:space="preserve"> / Tel: 722.275.57.00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1AB" w:rsidRDefault="006971AB" w:rsidP="008821FA">
      <w:r>
        <w:separator/>
      </w:r>
    </w:p>
  </w:footnote>
  <w:footnote w:type="continuationSeparator" w:id="0">
    <w:p w:rsidR="006971AB" w:rsidRDefault="006971AB" w:rsidP="00882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FA" w:rsidRDefault="008821FA" w:rsidP="008821FA">
    <w:pPr>
      <w:pStyle w:val="Encabezado"/>
      <w:ind w:left="-1276"/>
      <w:jc w:val="center"/>
      <w:rPr>
        <w:rFonts w:ascii="Arial" w:hAnsi="Arial"/>
        <w:noProof/>
        <w:color w:val="7F7F7F" w:themeColor="text1" w:themeTint="80"/>
        <w:sz w:val="22"/>
        <w:lang w:val="es-ES"/>
      </w:rPr>
    </w:pPr>
  </w:p>
  <w:p w:rsidR="008821FA" w:rsidRDefault="00883DB5" w:rsidP="008821FA">
    <w:pPr>
      <w:pStyle w:val="Encabezado"/>
      <w:ind w:left="-1276"/>
      <w:jc w:val="center"/>
      <w:rPr>
        <w:rFonts w:ascii="Arial" w:hAnsi="Arial"/>
        <w:noProof/>
        <w:color w:val="7F7F7F" w:themeColor="text1" w:themeTint="80"/>
        <w:sz w:val="22"/>
        <w:lang w:val="es-ES"/>
      </w:rPr>
    </w:pPr>
    <w:r>
      <w:rPr>
        <w:rFonts w:ascii="Arial" w:hAnsi="Arial"/>
        <w:noProof/>
        <w:color w:val="7F7F7F" w:themeColor="text1" w:themeTint="80"/>
        <w:sz w:val="22"/>
        <w:lang w:val="es-MX" w:eastAsia="es-MX"/>
      </w:rPr>
      <w:drawing>
        <wp:anchor distT="0" distB="0" distL="114300" distR="114300" simplePos="0" relativeHeight="251660288" behindDoc="0" locked="0" layoutInCell="1" allowOverlap="1">
          <wp:simplePos x="0" y="0"/>
          <wp:positionH relativeFrom="column">
            <wp:posOffset>-300990</wp:posOffset>
          </wp:positionH>
          <wp:positionV relativeFrom="paragraph">
            <wp:posOffset>11430</wp:posOffset>
          </wp:positionV>
          <wp:extent cx="2571750" cy="81343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guaySaneamiento-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1750" cy="813435"/>
                  </a:xfrm>
                  <a:prstGeom prst="rect">
                    <a:avLst/>
                  </a:prstGeom>
                </pic:spPr>
              </pic:pic>
            </a:graphicData>
          </a:graphic>
        </wp:anchor>
      </w:drawing>
    </w:r>
  </w:p>
  <w:p w:rsidR="00CD01B4" w:rsidRDefault="00613BB9" w:rsidP="008821FA">
    <w:pPr>
      <w:pStyle w:val="Encabezado"/>
      <w:ind w:left="-1276"/>
      <w:jc w:val="center"/>
      <w:rPr>
        <w:rFonts w:ascii="Arial" w:hAnsi="Arial"/>
        <w:noProof/>
        <w:color w:val="7F7F7F" w:themeColor="text1" w:themeTint="80"/>
        <w:sz w:val="22"/>
        <w:lang w:val="es-ES"/>
      </w:rPr>
    </w:pPr>
    <w:r>
      <w:rPr>
        <w:rFonts w:ascii="Arial" w:hAnsi="Arial"/>
        <w:noProof/>
        <w:color w:val="7F7F7F" w:themeColor="text1" w:themeTint="80"/>
        <w:sz w:val="22"/>
        <w:lang w:val="es-MX" w:eastAsia="es-MX"/>
      </w:rPr>
      <w:pict>
        <v:shapetype id="_x0000_t202" coordsize="21600,21600" o:spt="202" path="m,l,21600r21600,l21600,xe">
          <v:stroke joinstyle="miter"/>
          <v:path gradientshapeok="t" o:connecttype="rect"/>
        </v:shapetype>
        <v:shape id="Cuadro de texto 2" o:spid="_x0000_s4097" type="#_x0000_t202" style="position:absolute;left:0;text-align:left;margin-left:179.05pt;margin-top:9pt;width:337.4pt;height:33.3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" filled="f" stroked="f">
          <v:textbox>
            <w:txbxContent>
              <w:p w:rsidR="00CD01B4" w:rsidRDefault="00C1639D" w:rsidP="00CD01B4">
                <w:pPr>
                  <w:jc w:val="right"/>
                  <w:rPr>
                    <w:rFonts w:ascii="Arial" w:hAnsi="Arial"/>
                    <w:color w:val="7F7F7F" w:themeColor="text1" w:themeTint="80"/>
                    <w:sz w:val="22"/>
                  </w:rPr>
                </w:pPr>
                <w:r>
                  <w:rPr>
                    <w:rFonts w:ascii="Arial" w:hAnsi="Arial"/>
                    <w:color w:val="7F7F7F" w:themeColor="text1" w:themeTint="80"/>
                    <w:sz w:val="22"/>
                  </w:rPr>
                  <w:t>AGUA Y SANEAMIENTO DE TOLUCA</w:t>
                </w:r>
              </w:p>
              <w:p w:rsidR="00476F43" w:rsidRPr="00CD01B4" w:rsidRDefault="00476F43" w:rsidP="00CD01B4">
                <w:pPr>
                  <w:jc w:val="right"/>
                  <w:rPr>
                    <w:rFonts w:ascii="Arial" w:hAnsi="Arial"/>
                    <w:color w:val="7F7F7F" w:themeColor="text1" w:themeTint="80"/>
                    <w:sz w:val="22"/>
                  </w:rPr>
                </w:pPr>
              </w:p>
            </w:txbxContent>
          </v:textbox>
        </v:shape>
      </w:pict>
    </w:r>
  </w:p>
  <w:p w:rsidR="00CD01B4" w:rsidRDefault="00CD01B4" w:rsidP="008821FA">
    <w:pPr>
      <w:pStyle w:val="Encabezado"/>
      <w:ind w:left="-1276"/>
      <w:jc w:val="center"/>
      <w:rPr>
        <w:rFonts w:ascii="Arial" w:hAnsi="Arial"/>
        <w:noProof/>
        <w:color w:val="7F7F7F" w:themeColor="text1" w:themeTint="80"/>
        <w:sz w:val="22"/>
        <w:lang w:val="es-ES"/>
      </w:rPr>
    </w:pPr>
  </w:p>
  <w:p w:rsidR="00CD01B4" w:rsidRDefault="00CD01B4" w:rsidP="008821FA">
    <w:pPr>
      <w:pStyle w:val="Encabezado"/>
      <w:ind w:left="-1276"/>
      <w:jc w:val="center"/>
      <w:rPr>
        <w:rFonts w:ascii="Arial" w:hAnsi="Arial"/>
        <w:noProof/>
        <w:color w:val="7F7F7F" w:themeColor="text1" w:themeTint="80"/>
        <w:sz w:val="22"/>
        <w:lang w:val="es-ES"/>
      </w:rPr>
    </w:pPr>
  </w:p>
  <w:p w:rsidR="00CF1292" w:rsidRDefault="00CF1292" w:rsidP="00D3234D">
    <w:pPr>
      <w:pStyle w:val="Encabezado"/>
      <w:rPr>
        <w:rFonts w:ascii="Arial" w:hAnsi="Arial"/>
        <w:noProof/>
        <w:color w:val="7F7F7F" w:themeColor="text1" w:themeTint="80"/>
        <w:sz w:val="22"/>
        <w:lang w:val="es-ES"/>
      </w:rPr>
    </w:pPr>
  </w:p>
  <w:p w:rsidR="00D3234D" w:rsidRDefault="00D3234D" w:rsidP="00D3234D">
    <w:pPr>
      <w:pStyle w:val="Encabezado"/>
      <w:rPr>
        <w:rFonts w:ascii="Arial" w:hAnsi="Arial"/>
        <w:noProof/>
        <w:color w:val="7F7F7F" w:themeColor="text1" w:themeTint="80"/>
        <w:sz w:val="22"/>
        <w:lang w:val="es-ES"/>
      </w:rPr>
    </w:pPr>
  </w:p>
  <w:p w:rsidR="008821FA" w:rsidRPr="008821FA" w:rsidRDefault="00D3234D" w:rsidP="00D3234D">
    <w:pPr>
      <w:pStyle w:val="Encabezado"/>
      <w:ind w:left="-426"/>
      <w:jc w:val="center"/>
      <w:rPr>
        <w:rFonts w:ascii="Arial" w:hAnsi="Arial"/>
        <w:color w:val="7F7F7F" w:themeColor="text1" w:themeTint="80"/>
        <w:sz w:val="18"/>
      </w:rPr>
    </w:pPr>
    <w:r w:rsidRPr="008821FA">
      <w:rPr>
        <w:rFonts w:ascii="Arial" w:hAnsi="Arial"/>
        <w:color w:val="7F7F7F" w:themeColor="text1" w:themeTint="80"/>
        <w:sz w:val="18"/>
      </w:rPr>
      <w:t>“</w:t>
    </w:r>
    <w:r>
      <w:rPr>
        <w:rFonts w:ascii="Arial" w:hAnsi="Arial"/>
        <w:color w:val="7F7F7F" w:themeColor="text1" w:themeTint="80"/>
        <w:sz w:val="18"/>
      </w:rPr>
      <w:t>2020. Año de Laura Méndez de Cuenca; emblema de la mujer Mexiquense</w:t>
    </w:r>
    <w:r w:rsidRPr="008821FA">
      <w:rPr>
        <w:rFonts w:ascii="Arial" w:hAnsi="Arial"/>
        <w:color w:val="7F7F7F" w:themeColor="text1" w:themeTint="80"/>
        <w:sz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3ACE"/>
    <w:multiLevelType w:val="hybridMultilevel"/>
    <w:tmpl w:val="5ABAF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8821FA"/>
    <w:rsid w:val="002758F2"/>
    <w:rsid w:val="002B0FBB"/>
    <w:rsid w:val="00472B5B"/>
    <w:rsid w:val="00476F43"/>
    <w:rsid w:val="00560029"/>
    <w:rsid w:val="005F2FA3"/>
    <w:rsid w:val="00613BB9"/>
    <w:rsid w:val="006971AB"/>
    <w:rsid w:val="006B3F53"/>
    <w:rsid w:val="00721287"/>
    <w:rsid w:val="00734107"/>
    <w:rsid w:val="00763B89"/>
    <w:rsid w:val="008821FA"/>
    <w:rsid w:val="00883DB5"/>
    <w:rsid w:val="008E61FB"/>
    <w:rsid w:val="00983EF5"/>
    <w:rsid w:val="00987A6E"/>
    <w:rsid w:val="009A636E"/>
    <w:rsid w:val="009B00C8"/>
    <w:rsid w:val="009C1699"/>
    <w:rsid w:val="00A149F7"/>
    <w:rsid w:val="00AA2886"/>
    <w:rsid w:val="00B07E71"/>
    <w:rsid w:val="00C1639D"/>
    <w:rsid w:val="00CC0BB0"/>
    <w:rsid w:val="00CD01B4"/>
    <w:rsid w:val="00CD1643"/>
    <w:rsid w:val="00CF1292"/>
    <w:rsid w:val="00D316B6"/>
    <w:rsid w:val="00D3234D"/>
    <w:rsid w:val="00D7256F"/>
    <w:rsid w:val="00D725E3"/>
    <w:rsid w:val="00D962F6"/>
    <w:rsid w:val="00DE40B8"/>
    <w:rsid w:val="00E11411"/>
    <w:rsid w:val="00E33816"/>
    <w:rsid w:val="00E46DE0"/>
    <w:rsid w:val="00E72E7F"/>
    <w:rsid w:val="00E74E0D"/>
    <w:rsid w:val="00E86357"/>
    <w:rsid w:val="00F76A4B"/>
    <w:rsid w:val="00FD43F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821FA"/>
  </w:style>
  <w:style w:type="character" w:customStyle="1" w:styleId="TextonotapieCar">
    <w:name w:val="Texto nota pie Car"/>
    <w:basedOn w:val="Fuentedeprrafopredeter"/>
    <w:link w:val="Textonotapie"/>
    <w:uiPriority w:val="99"/>
    <w:rsid w:val="008821FA"/>
  </w:style>
  <w:style w:type="character" w:styleId="Refdenotaalpie">
    <w:name w:val="footnote reference"/>
    <w:basedOn w:val="Fuentedeprrafopredeter"/>
    <w:uiPriority w:val="99"/>
    <w:unhideWhenUsed/>
    <w:rsid w:val="008821FA"/>
    <w:rPr>
      <w:vertAlign w:val="superscript"/>
    </w:rPr>
  </w:style>
  <w:style w:type="paragraph" w:styleId="Textodeglobo">
    <w:name w:val="Balloon Text"/>
    <w:basedOn w:val="Normal"/>
    <w:link w:val="TextodegloboCar"/>
    <w:uiPriority w:val="99"/>
    <w:semiHidden/>
    <w:unhideWhenUsed/>
    <w:rsid w:val="008821F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21FA"/>
    <w:rPr>
      <w:rFonts w:ascii="Lucida Grande" w:hAnsi="Lucida Grande"/>
      <w:sz w:val="18"/>
      <w:szCs w:val="18"/>
    </w:rPr>
  </w:style>
  <w:style w:type="paragraph" w:styleId="Encabezado">
    <w:name w:val="header"/>
    <w:basedOn w:val="Normal"/>
    <w:link w:val="EncabezadoCar"/>
    <w:uiPriority w:val="99"/>
    <w:unhideWhenUsed/>
    <w:rsid w:val="008821FA"/>
    <w:pPr>
      <w:tabs>
        <w:tab w:val="center" w:pos="4252"/>
        <w:tab w:val="right" w:pos="8504"/>
      </w:tabs>
    </w:pPr>
  </w:style>
  <w:style w:type="character" w:customStyle="1" w:styleId="EncabezadoCar">
    <w:name w:val="Encabezado Car"/>
    <w:basedOn w:val="Fuentedeprrafopredeter"/>
    <w:link w:val="Encabezado"/>
    <w:uiPriority w:val="99"/>
    <w:rsid w:val="008821FA"/>
  </w:style>
  <w:style w:type="paragraph" w:styleId="Piedepgina">
    <w:name w:val="footer"/>
    <w:basedOn w:val="Normal"/>
    <w:link w:val="PiedepginaCar"/>
    <w:uiPriority w:val="99"/>
    <w:unhideWhenUsed/>
    <w:rsid w:val="008821FA"/>
    <w:pPr>
      <w:tabs>
        <w:tab w:val="center" w:pos="4252"/>
        <w:tab w:val="right" w:pos="8504"/>
      </w:tabs>
    </w:pPr>
  </w:style>
  <w:style w:type="character" w:customStyle="1" w:styleId="PiedepginaCar">
    <w:name w:val="Pie de página Car"/>
    <w:basedOn w:val="Fuentedeprrafopredeter"/>
    <w:link w:val="Piedepgina"/>
    <w:uiPriority w:val="99"/>
    <w:rsid w:val="008821FA"/>
  </w:style>
  <w:style w:type="table" w:styleId="Tablaconcuadrcula">
    <w:name w:val="Table Grid"/>
    <w:basedOn w:val="Tablanormal"/>
    <w:uiPriority w:val="59"/>
    <w:rsid w:val="00D72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72B5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Campus Universitario Siglo XXI</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Abdel González Hinojosa</dc:creator>
  <cp:lastModifiedBy>Brendiux</cp:lastModifiedBy>
  <cp:revision>3</cp:revision>
  <cp:lastPrinted>2019-01-04T16:06:00Z</cp:lastPrinted>
  <dcterms:created xsi:type="dcterms:W3CDTF">2020-01-08T01:47:00Z</dcterms:created>
  <dcterms:modified xsi:type="dcterms:W3CDTF">2020-01-08T01:50:00Z</dcterms:modified>
</cp:coreProperties>
</file>